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tabs>
          <w:tab w:val="clear" w:pos="708"/>
          <w:tab w:val="left" w:pos="2268" w:leader="none"/>
        </w:tabs>
        <w:ind w:left="2268" w:hanging="0"/>
        <w:rPr>
          <w:rFonts w:ascii="Calibri" w:hAnsi="Calibri" w:cs="Calibri"/>
          <w:sz w:val="36"/>
          <w:szCs w:val="2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40"/>
          <w:szCs w:val="40"/>
        </w:rPr>
        <w:t>M</w:t>
      </w:r>
      <w:r>
        <w:rPr>
          <w:rFonts w:cs="Calibri" w:ascii="Calibri" w:hAnsi="Calibri"/>
          <w:sz w:val="40"/>
          <w:szCs w:val="40"/>
        </w:rPr>
        <w:t xml:space="preserve">AGYAR  BOWLING és TEKE SZÖVETSÉG </w:t>
        <w:br/>
      </w:r>
      <w:r>
        <w:rPr>
          <w:rFonts w:cs="Calibri" w:ascii="Calibri" w:hAnsi="Calibri"/>
          <w:sz w:val="36"/>
        </w:rPr>
        <w:t>TEKE SZAKÁGI SZÖVETSÉG</w:t>
      </w:r>
    </w:p>
    <w:p>
      <w:pPr>
        <w:pStyle w:val="Normal"/>
        <w:tabs>
          <w:tab w:val="clear" w:pos="708"/>
          <w:tab w:val="left" w:pos="2268" w:leader="none"/>
        </w:tabs>
        <w:jc w:val="center"/>
        <w:rPr>
          <w:rFonts w:ascii="Calibri" w:hAnsi="Calibri" w:cs="" w:asciiTheme="minorHAnsi" w:cstheme="minorBidi" w:hAnsiTheme="minorHAnsi"/>
          <w:b/>
          <w:b/>
          <w:bCs/>
          <w:sz w:val="22"/>
        </w:rPr>
      </w:pPr>
      <w:r>
        <w:rPr>
          <w:rFonts w:cs="" w:cstheme="minorBidi" w:ascii="Calibri" w:hAnsi="Calibri"/>
          <w:b/>
          <w:bCs/>
          <w:sz w:val="22"/>
        </w:rPr>
      </w:r>
    </w:p>
    <w:p>
      <w:pPr>
        <w:pStyle w:val="Llb"/>
        <w:tabs>
          <w:tab w:val="clear" w:pos="4536"/>
          <w:tab w:val="left" w:pos="708" w:leader="none"/>
          <w:tab w:val="left" w:pos="2268" w:leader="none"/>
          <w:tab w:val="center" w:pos="4395" w:leader="none"/>
          <w:tab w:val="left" w:pos="6237" w:leader="none"/>
          <w:tab w:val="left" w:pos="6663" w:leader="none"/>
          <w:tab w:val="right" w:pos="9072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 xml:space="preserve">H-1146 Budapest, Istvánmezei út 1-3. </w:t>
        <w:tab/>
      </w:r>
      <w:r>
        <w:rPr>
          <w:rFonts w:eastAsia="Wingdings 2" w:cs="Wingdings 2" w:ascii="Wingdings 2" w:hAnsi="Wingdings 2"/>
          <w:sz w:val="22"/>
          <w:szCs w:val="22"/>
        </w:rPr>
        <w:t></w:t>
      </w:r>
      <w:r>
        <w:rPr>
          <w:rFonts w:cs="Calibri" w:ascii="Calibri" w:hAnsi="Calibri"/>
          <w:sz w:val="22"/>
          <w:szCs w:val="22"/>
        </w:rPr>
        <w:t xml:space="preserve"> </w:t>
        <w:tab/>
        <w:t>(36-1) 46 06 805</w:t>
      </w:r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rPr>
          <w:rFonts w:ascii="Calibri" w:hAnsi="Calibri" w:cs="Calibri"/>
          <w:sz w:val="22"/>
        </w:rPr>
      </w:pPr>
      <w:r>
        <w:rPr>
          <w:rFonts w:cs="Calibri" w:ascii="Calibri" w:hAnsi="Calibri"/>
        </w:rPr>
        <w:tab/>
        <w:t>Adószám: 18170366-2-42</w:t>
        <w:tab/>
      </w:r>
      <w:r>
        <w:rPr>
          <w:rFonts w:eastAsia="Wingdings 2" w:cs="Wingdings 2" w:ascii="Wingdings 2" w:hAnsi="Wingdings 2"/>
          <w:sz w:val="28"/>
          <w:szCs w:val="28"/>
        </w:rPr>
        <w:t></w:t>
      </w:r>
      <w:r>
        <w:rPr>
          <w:rFonts w:cs="Calibri" w:ascii="Calibri" w:hAnsi="Calibri"/>
          <w:sz w:val="28"/>
          <w:szCs w:val="28"/>
        </w:rPr>
        <w:t xml:space="preserve"> </w:t>
      </w:r>
      <w:r>
        <w:rPr>
          <w:rFonts w:cs="Calibri" w:ascii="Calibri" w:hAnsi="Calibri"/>
        </w:rPr>
        <w:tab/>
        <w:t>(36-1) 46 06 806</w:t>
      </w:r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rPr/>
      </w:pPr>
      <w:r>
        <w:rPr>
          <w:rFonts w:cs="Calibri" w:ascii="Calibri" w:hAnsi="Calibri"/>
        </w:rPr>
        <w:tab/>
        <w:t>Bankszámlaszám: 11714006-20422347</w:t>
        <w:tab/>
      </w:r>
      <w:r>
        <w:rPr>
          <w:rFonts w:cs="Wingdings" w:ascii="Wingdings" w:hAnsi="Wingdings"/>
          <w:szCs w:val="20"/>
        </w:rPr>
        <w:t></w:t>
      </w:r>
      <w:r>
        <w:rPr>
          <w:rFonts w:cs="Calibri" w:ascii="Calibri" w:hAnsi="Calibri"/>
        </w:rPr>
        <w:tab/>
      </w:r>
      <w:hyperlink r:id="rId3">
        <w:r>
          <w:rPr>
            <w:rStyle w:val="Internethivatkozs"/>
            <w:rFonts w:cs="Calibri" w:ascii="Calibri" w:hAnsi="Calibri"/>
          </w:rPr>
          <w:t>teke@tekesport.hu</w:t>
        </w:r>
      </w:hyperlink>
    </w:p>
    <w:p>
      <w:pPr>
        <w:pStyle w:val="Normal"/>
        <w:numPr>
          <w:ilvl w:val="0"/>
          <w:numId w:val="2"/>
        </w:numPr>
        <w:tabs>
          <w:tab w:val="clear" w:pos="708"/>
          <w:tab w:val="left" w:pos="6379" w:leader="none"/>
          <w:tab w:val="left" w:pos="6663" w:leader="none"/>
        </w:tabs>
        <w:spacing w:lineRule="auto" w:line="240" w:before="0" w:after="0"/>
        <w:rPr/>
      </w:pPr>
      <w:hyperlink r:id="rId4">
        <w:r>
          <w:rPr>
            <w:rStyle w:val="Internethivatkozs"/>
            <w:rFonts w:cs="Calibri" w:ascii="Calibri" w:hAnsi="Calibri"/>
          </w:rPr>
          <w:t>www.tekesport.hu</w:t>
        </w:r>
      </w:hyperlink>
    </w:p>
    <w:p>
      <w:pPr>
        <w:pStyle w:val="Normal"/>
        <w:spacing w:lineRule="auto" w:line="259" w:before="0" w:after="47"/>
        <w:ind w:left="-15" w:right="-32" w:hanging="0"/>
        <w:rPr/>
      </w:pPr>
      <w:r>
        <w:rPr/>
        <mc:AlternateContent>
          <mc:Choice Requires="wpg">
            <w:drawing>
              <wp:inline distT="0" distB="0" distL="0" distR="0">
                <wp:extent cx="5798820" cy="2794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816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2743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.2pt;width:456.55pt;height:2.15pt" coordorigin="0,-44" coordsize="9131,43"/>
            </w:pict>
          </mc:Fallback>
        </mc:AlternateContent>
      </w:r>
      <w:r>
        <w:rPr>
          <w:b/>
        </w:rPr>
        <w:t xml:space="preserve"> </w:t>
      </w:r>
    </w:p>
    <w:p>
      <w:pPr>
        <w:pStyle w:val="Normal"/>
        <w:spacing w:lineRule="auto" w:line="237" w:before="0" w:after="0"/>
        <w:rPr>
          <w:b/>
          <w:b/>
          <w:sz w:val="24"/>
        </w:rPr>
      </w:pPr>
      <w:r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FELNŐTT FÉRFI MAGYAR KUPA, </w:t>
      </w:r>
    </w:p>
    <w:p>
      <w:pPr>
        <w:pStyle w:val="Normal"/>
        <w:spacing w:lineRule="auto" w:line="237" w:before="0" w:after="0"/>
        <w:rPr/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2019. ÉVI VERSENYKIÍRÁS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p>
      <w:pPr>
        <w:pStyle w:val="Normal"/>
        <w:ind w:left="-1" w:firstLine="4"/>
        <w:rPr/>
      </w:pPr>
      <w:r>
        <w:rPr/>
        <w:t xml:space="preserve">A bajnokság kiírása a Magyar Bowling és Tekeszövetség Teke Szakági Szövetsége /továbbiakban:  MATESZ/ Versenyszabályzata, valamint a vonatkozó érvényes Elnökségi és Küldöttgyűlési határozatok figyelembevételével történt. 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248" w:hanging="248"/>
        <w:rPr/>
      </w:pPr>
      <w:r>
        <w:rPr>
          <w:b/>
        </w:rPr>
        <w:t xml:space="preserve">A BAJNOKSÁG SZERVEZŐJE:  </w:t>
      </w:r>
    </w:p>
    <w:p>
      <w:pPr>
        <w:pStyle w:val="Normal"/>
        <w:ind w:left="-1" w:right="3191" w:firstLine="4"/>
        <w:rPr/>
      </w:pPr>
      <w:r>
        <w:rPr/>
        <w:t xml:space="preserve">Magyar Bowling és Teke Szövetség Teke Szakági Szövetség 1146. BUDAPEST.  </w:t>
      </w:r>
    </w:p>
    <w:p>
      <w:pPr>
        <w:pStyle w:val="Normal"/>
        <w:ind w:left="-1" w:firstLine="4"/>
        <w:rPr/>
      </w:pPr>
      <w:r>
        <w:rPr/>
        <w:t xml:space="preserve">Istvánmezei út 1-3.  </w:t>
      </w:r>
    </w:p>
    <w:p>
      <w:pPr>
        <w:pStyle w:val="Normal"/>
        <w:ind w:left="-1" w:firstLine="4"/>
        <w:rPr/>
      </w:pPr>
      <w:r>
        <w:rPr/>
        <w:t xml:space="preserve">Tel/Fax: /06 – 1/ 460-6805, 460-6806 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248" w:hanging="248"/>
        <w:rPr/>
      </w:pPr>
      <w:r>
        <w:rPr>
          <w:b/>
        </w:rPr>
        <w:t xml:space="preserve">A BAJNOKSÁG CÉLJA: </w:t>
      </w:r>
    </w:p>
    <w:p>
      <w:pPr>
        <w:pStyle w:val="Normal"/>
        <w:ind w:left="-1" w:firstLine="4"/>
        <w:rPr>
          <w:color w:val="auto"/>
        </w:rPr>
      </w:pPr>
      <w:r>
        <w:rPr/>
        <w:t xml:space="preserve">Eldönteni a 2019. évi Férfi Magyar Kupa győztesét, valamint lehetőséget adni az alacsonyabb osztályban szereplő csapatoknak Szuperligás ellenfelekkel szemben való megmérettetésre, ill. a bajnokság utáni szabadidő kihasználása, valamint az </w:t>
      </w:r>
      <w:r>
        <w:rPr>
          <w:color w:val="auto"/>
        </w:rPr>
        <w:t>NBC kupára indulási jog megszerzése.</w:t>
      </w:r>
    </w:p>
    <w:p>
      <w:pPr>
        <w:pStyle w:val="Normal"/>
        <w:ind w:left="-1" w:firstLine="4"/>
        <w:rPr>
          <w:color w:val="auto"/>
        </w:rPr>
      </w:pPr>
      <w:r>
        <w:rPr>
          <w:color w:val="auto"/>
        </w:rPr>
        <w:t>Az NBC Kupa indulási jogát megszerezheti a döntő legjobb helyezését elérő olyan csapata, amelyik</w:t>
      </w:r>
    </w:p>
    <w:p>
      <w:pPr>
        <w:pStyle w:val="Normal"/>
        <w:ind w:left="-1" w:firstLine="4"/>
        <w:rPr>
          <w:color w:val="FF0000"/>
        </w:rPr>
      </w:pPr>
      <w:r>
        <w:rPr>
          <w:color w:val="auto"/>
        </w:rPr>
        <w:t>a bajnokság során nem szerzett jogot valamelyik nemzetközi kupában való részvételre.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248" w:hanging="248"/>
        <w:rPr/>
      </w:pPr>
      <w:r>
        <w:rPr>
          <w:b/>
        </w:rPr>
        <w:t xml:space="preserve">A BAJNOKSÁG LEBONYOLÍTÓJA:  </w:t>
      </w:r>
    </w:p>
    <w:p>
      <w:pPr>
        <w:pStyle w:val="Normal"/>
        <w:ind w:left="-1" w:firstLine="4"/>
        <w:rPr/>
      </w:pPr>
      <w:r>
        <w:rPr/>
        <w:t>MATESZ Versenybizottsága</w:t>
      </w:r>
    </w:p>
    <w:p>
      <w:pPr>
        <w:pStyle w:val="Normal"/>
        <w:ind w:left="-1" w:firstLine="4"/>
        <w:rPr/>
      </w:pPr>
      <w:r>
        <w:rPr/>
        <w:t>Versenybizottságot/elnökséget képviseli: Szarvas Balázs,</w:t>
      </w:r>
    </w:p>
    <w:p>
      <w:pPr>
        <w:pStyle w:val="Normal"/>
        <w:ind w:left="-1" w:firstLine="4"/>
        <w:rPr/>
      </w:pPr>
      <w:r>
        <w:rPr/>
        <w:t xml:space="preserve">                                                          </w:t>
      </w:r>
      <w:r>
        <w:rPr/>
        <w:t xml:space="preserve">Mayer Árpád, </w:t>
      </w:r>
    </w:p>
    <w:p>
      <w:pPr>
        <w:pStyle w:val="Normal"/>
        <w:ind w:left="-1" w:firstLine="4"/>
        <w:rPr/>
      </w:pPr>
      <w:r>
        <w:rPr/>
        <w:t xml:space="preserve">                                                          </w:t>
      </w:r>
      <w:r>
        <w:rPr/>
        <w:t xml:space="preserve">Molnár Tibor 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248" w:hanging="248"/>
        <w:rPr/>
      </w:pPr>
      <w:r>
        <w:rPr>
          <w:b/>
        </w:rPr>
        <w:t xml:space="preserve">A BAJNOKSÁG HELYSZINE:  </w:t>
      </w:r>
    </w:p>
    <w:p>
      <w:pPr>
        <w:pStyle w:val="Normal"/>
        <w:spacing w:lineRule="auto" w:line="259" w:before="0" w:after="0"/>
        <w:ind w:left="14" w:hanging="0"/>
        <w:rPr>
          <w:color w:val="auto"/>
        </w:rPr>
      </w:pPr>
      <w:r>
        <w:rPr/>
        <w:t>A selejtezők sorsolás szerint, a döntő semleges helyszínen, amely a negyeddöntő visszavágóit megelőzően kijelölésre kerül</w:t>
      </w:r>
      <w:r>
        <w:rPr>
          <w:color w:val="auto"/>
        </w:rPr>
        <w:t>. A selejtezők lehetnek öntött és lemezes pályákon is, de a döntő csak 4 vagy 6 sávos elemes pályán rendezhető meg.</w:t>
      </w:r>
    </w:p>
    <w:p>
      <w:pPr>
        <w:pStyle w:val="Normal"/>
        <w:spacing w:lineRule="auto" w:line="259" w:before="0" w:after="0"/>
        <w:ind w:left="14" w:hanging="0"/>
        <w:rPr/>
      </w:pPr>
      <w:r>
        <w:rPr/>
      </w:r>
    </w:p>
    <w:p>
      <w:pPr>
        <w:pStyle w:val="Normal"/>
        <w:spacing w:lineRule="auto" w:line="259" w:before="0" w:after="0"/>
        <w:ind w:left="9" w:hanging="10"/>
        <w:rPr/>
      </w:pPr>
      <w:r>
        <w:rPr>
          <w:b/>
        </w:rPr>
        <w:t xml:space="preserve">5. A BAJNOKSÁG IDŐPONTJA:  </w:t>
      </w:r>
    </w:p>
    <w:p>
      <w:pPr>
        <w:pStyle w:val="Normal"/>
        <w:ind w:left="-1" w:firstLine="4"/>
        <w:rPr/>
      </w:pPr>
      <w:r>
        <w:rPr/>
        <w:t>2019. április 01. – június 09. között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9" w:hanging="10"/>
        <w:rPr/>
      </w:pPr>
      <w:r>
        <w:rPr>
          <w:b/>
        </w:rPr>
        <w:t xml:space="preserve">6. A BAJNOKSÁG VERSENYSZÁMAI: 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>120 vegyes dobás.</w:t>
      </w:r>
    </w:p>
    <w:p>
      <w:pPr>
        <w:pStyle w:val="Normal"/>
        <w:ind w:left="-1" w:firstLine="4"/>
        <w:rPr/>
      </w:pPr>
      <w:r>
        <w:rPr/>
        <w:t xml:space="preserve">A verseny lebonyolítása a MATESZ érvényes Versenyszabályzata alapján történik, a versenyzők a kezdőpályájukon maximum 10 bemelegítő gurítást végezhetnek.  </w:t>
      </w:r>
    </w:p>
    <w:p>
      <w:pPr>
        <w:pStyle w:val="Normal"/>
        <w:spacing w:lineRule="auto" w:line="259" w:before="0" w:after="0"/>
        <w:ind w:left="14" w:hanging="0"/>
        <w:rPr/>
      </w:pPr>
      <w:r>
        <w:rPr/>
      </w:r>
    </w:p>
    <w:p>
      <w:pPr>
        <w:pStyle w:val="Normal"/>
        <w:spacing w:lineRule="auto" w:line="259" w:before="0" w:after="0"/>
        <w:ind w:left="9" w:hanging="10"/>
        <w:rPr/>
      </w:pPr>
      <w:r>
        <w:rPr>
          <w:b/>
        </w:rPr>
        <w:t xml:space="preserve">7. A BAJNOKSÁG RÉSZTVEVŐI:  </w:t>
      </w:r>
    </w:p>
    <w:p>
      <w:pPr>
        <w:pStyle w:val="Normal"/>
        <w:ind w:left="-1" w:firstLine="4"/>
        <w:rPr/>
      </w:pPr>
      <w:r>
        <w:rPr/>
        <w:t xml:space="preserve">A MATESZ és a VERSENYBIZOTTSÁG határozata alapján benevezhet minden olyan egyesület, aki </w:t>
      </w:r>
    </w:p>
    <w:p>
      <w:pPr>
        <w:pStyle w:val="Normal"/>
        <w:ind w:left="-1" w:firstLine="4"/>
        <w:rPr/>
      </w:pPr>
      <w:r>
        <w:rPr/>
        <w:t>a MATESZ tagja, szerepeljen bármilyen szintű bajnokságban.</w:t>
      </w:r>
    </w:p>
    <w:p>
      <w:pPr>
        <w:pStyle w:val="Normal"/>
        <w:ind w:left="-1" w:firstLine="4"/>
        <w:rPr/>
      </w:pPr>
      <w:r>
        <w:rPr/>
        <w:t>Egy egyesület több csapattal is nevezhet, de ebben az esetben a névsort nevezéskor rögzíteni kell.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8. LEBONYOLÍTÁS:  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 xml:space="preserve">A csapatok </w:t>
      </w:r>
      <w:r>
        <w:rPr>
          <w:color w:val="auto"/>
        </w:rPr>
        <w:t xml:space="preserve">a selejtezőkben </w:t>
      </w:r>
      <w:r>
        <w:rPr/>
        <w:t>4 fővel versenyeznek, csapat-csapat ellen, ember-ember ellen. Ezek alapján a mérkőzés eredménye lehet: 6:0, 5,5:0,5, 5:1, 4,5:1,5, 4:2, 3,5:2,5, 3:3, 2,5:3,5, 2:4, 1,5:5,5, 1:5, 0,5:5,5, 0:6.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>Tehát kiosztásra kerül 4 egyéni pont és 2 csapatpont a több ütött csapatfáért.</w:t>
      </w:r>
    </w:p>
    <w:p>
      <w:pPr>
        <w:pStyle w:val="Normal"/>
        <w:spacing w:lineRule="auto" w:line="259" w:before="0" w:after="0"/>
        <w:ind w:left="9" w:hanging="10"/>
        <w:rPr>
          <w:color w:val="auto"/>
        </w:rPr>
      </w:pPr>
      <w:r>
        <w:rPr>
          <w:color w:val="auto"/>
        </w:rPr>
        <w:t>A döntőben 6 fővel versenyeznek.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>A benevezett csapatok célja, hogy a legjobb 4 csapat közé kerüljenek, a négyes döntőbe bejussanak. Addig viszont kieséses rendszerben zajlik a Kupa. Az alacsonyabb osztályból érkezett csapatok játszanak először, minél magasabban rangsorolt egy csapat, annál később kap ellenfelet. A Versenybizottság a kezdeti szakaszban a területi elveket is figyelembe veszi. A párosítások a benevezett csapatok ismeretében.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>A párharcok oda-visszavágó alapján dőlnek el, az összesített eredmény alapján. Először a tabella-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>pontok döntenek, ha az egyenlő, akkor a csapatpontok, ha az is egyenlő, akkor a szett pontok.</w:t>
      </w:r>
    </w:p>
    <w:p>
      <w:pPr>
        <w:pStyle w:val="Normal"/>
        <w:spacing w:lineRule="auto" w:line="259" w:before="0" w:after="0"/>
        <w:ind w:left="9" w:hanging="10"/>
        <w:rPr/>
      </w:pPr>
      <w:r>
        <w:rPr/>
        <w:t>Csere: 4 fős csapatok mérkőzésén 1 fő csere, a döntőben 2 fő csere lehetséges.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9" w:hanging="10"/>
        <w:rPr>
          <w:b/>
          <w:b/>
        </w:rPr>
      </w:pPr>
      <w:r>
        <w:rPr>
          <w:b/>
        </w:rPr>
        <w:t>9. A döntő lebonyolítása: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A négyes döntőben a csapatoknak minden sorban egy játékost kell szerepeltetnie, tehát négy, ill. hat, különböző csapathoz tartozó játékos van egyszerre a pályán.</w:t>
      </w:r>
      <w:r>
        <w:rPr>
          <w:color w:val="auto"/>
        </w:rPr>
        <w:t xml:space="preserve"> </w:t>
      </w:r>
      <w:r>
        <w:rPr/>
        <w:t>Az értékelés 30 dobásonként történik, vagyis az adott 30 dobás során a legtöbb fát ütött játékos szerez 4 pontot, a második legtöbbet ütő játékos szerez 3 pontot, a következő 2 pontot, végül a legkevesebbet ütött 1 pontot. Pályacsere után ugyanez a rendszer. A 4x30 dobás befejezése után a legtöbb pontot szerzett játékos kap 4 pontot, függetlenül az ütött több fától. A több ütött fa egy soron belül akkor lesz döntő, ha két v. több játékos ugyanannyi pontot gyűjt.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Mind a 6 játékos pontokat gyűjt a 120 vegyes dobás után a csapatának. Az a csapat lesz a végső győztes, amelyik a legtöbb pontot gyűjti. (Elvileg 1 játékos, ha mind a négy sávon a legtöbb fát éri el,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így 4-szer 4 pontot, vagyis 16 pontot gyűjthet. Ezzel a csapatának szerez 4 pontot. Ha a csapat mind a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6 játékosa megnyeri a saját sorát, mindegyikük szerez a csapatának 4 pontot, így maximálisan 24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pontja lehet egy győztes csapatnak.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>Abban az esetben, ha egy soron belül több játékos is azonos pontot szerez, úgy a több ütött fa dönt</w:t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/>
        <w:t>a csapatpontokról.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14" w:hanging="0"/>
        <w:rPr>
          <w:b/>
          <w:b/>
        </w:rPr>
      </w:pPr>
      <w:r>
        <w:rPr>
          <w:b/>
        </w:rPr>
        <w:t>10. Nevezés, nevezési díj: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    </w:t>
      </w:r>
      <w:r>
        <w:rPr/>
        <w:t>Határidő: 2019. március 2</w:t>
      </w:r>
      <w:r>
        <w:rPr/>
        <w:t>9</w:t>
      </w:r>
      <w:r>
        <w:rPr/>
        <w:t>.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    </w:t>
      </w:r>
      <w:r>
        <w:rPr/>
        <w:t xml:space="preserve">Nevezni a MATESZ elérhetőségein lehet levélben, e-mail formájában a nevezési díj befizetését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    </w:t>
      </w:r>
      <w:r>
        <w:rPr/>
        <w:t>igazoló szelvénnyel.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    </w:t>
      </w:r>
      <w:r>
        <w:rPr/>
        <w:t>A nevezési díj 5 000,- Ft fordulónként. (Beleértve a döntőt is.) Kérjük a mindenkori továbbjutó csapatokat, hogy a következő fordulóra szóló nevezési díjat a lejátszandó mérkőzés megkezdése előtt rendezzék a MATESZ számlájára, s az arról szóló igazolást is oda küldjék.</w:t>
      </w:r>
    </w:p>
    <w:p>
      <w:pPr>
        <w:pStyle w:val="Normal"/>
        <w:spacing w:lineRule="auto" w:line="259" w:before="0" w:after="0"/>
        <w:ind w:left="9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9" w:hanging="10"/>
        <w:rPr/>
      </w:pPr>
      <w:r>
        <w:rPr>
          <w:b/>
        </w:rPr>
        <w:t xml:space="preserve">11. EGYEBEK:  </w:t>
      </w:r>
    </w:p>
    <w:p>
      <w:pPr>
        <w:pStyle w:val="Normal"/>
        <w:ind w:left="-1" w:firstLine="4"/>
        <w:rPr/>
      </w:pPr>
      <w:r>
        <w:rPr/>
        <w:t xml:space="preserve">a) A Magyar Kupa Férfi bajnokságon csak azok vehetnek részt:  </w:t>
      </w:r>
    </w:p>
    <w:p>
      <w:pPr>
        <w:pStyle w:val="Normal"/>
        <w:rPr/>
      </w:pPr>
      <w:r>
        <w:rPr/>
        <w:t xml:space="preserve">      </w:t>
      </w:r>
      <w:r>
        <w:rPr/>
        <w:t>akik magyar állampolgárok (+ a 4 fős csapatban 1 fő, a 6 fős csapatban 2 fő idegenlégiós),</w:t>
      </w:r>
    </w:p>
    <w:p>
      <w:pPr>
        <w:pStyle w:val="Normal"/>
        <w:ind w:left="374" w:firstLine="4"/>
        <w:rPr/>
      </w:pPr>
      <w:r>
        <w:rPr/>
        <w:t xml:space="preserve">akik betöltötték 16. évüket, /napra/  </w:t>
      </w:r>
    </w:p>
    <w:p>
      <w:pPr>
        <w:pStyle w:val="Normal"/>
        <w:ind w:left="374" w:firstLine="4"/>
        <w:rPr/>
      </w:pPr>
      <w:r>
        <w:rPr/>
        <w:t>érvényes sportorvosi engedéllyel rendelkeznek,</w:t>
      </w:r>
    </w:p>
    <w:p>
      <w:pPr>
        <w:pStyle w:val="Normal"/>
        <w:rPr/>
      </w:pPr>
      <w:r>
        <w:rPr/>
        <w:t xml:space="preserve">      </w:t>
      </w:r>
      <w:r>
        <w:rPr/>
        <w:t xml:space="preserve">akik regisztrált versenyzői igazolással, érvényes versenyengedéllyel rendelkeznek,    </w:t>
      </w:r>
    </w:p>
    <w:p>
      <w:pPr>
        <w:pStyle w:val="Normal"/>
        <w:rPr/>
      </w:pPr>
      <w:r>
        <w:rPr/>
        <w:t xml:space="preserve">  </w:t>
      </w:r>
      <w:r>
        <w:rPr/>
        <w:t xml:space="preserve">b) A 2019. évi Magyar Kupa Férfi bajnokság döntőjében minden vitás esetben, illetve óvásnál a Versenybizottság a helyszínen végérvényesen dönt, fellebbezésnek nincs helye. Óvást csak akkor tárgyal a Versenybíróság, ha az óvási díjat – 5 000.- Ft-ot - a helyszínen befizették. Az óvási díjat, amennyiben a Versenybizottság az óvásnak helyt ad, azonnal visszafizetik. 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 </w:t>
      </w:r>
      <w:r>
        <w:rPr/>
        <w:t xml:space="preserve">A bajnokság döntőjének lebonyolítási és díjazási költségeit a MATESZ fedezi.  </w:t>
      </w:r>
    </w:p>
    <w:p>
      <w:pPr>
        <w:pStyle w:val="Normal"/>
        <w:ind w:left="-1" w:firstLine="4"/>
        <w:rPr/>
      </w:pPr>
      <w:r>
        <w:rPr/>
        <w:t xml:space="preserve">A résztvevő versenyzők költségeit – részvételi díj, utazási, szállás, étkezési stb. költségek – a versenyzők, vagy egyesületeik fizetik. 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Budapest, 2019. március 10.                                            </w:t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/>
        <w:t>MATESZ Versenybizottsága</w:t>
      </w:r>
    </w:p>
    <w:sectPr>
      <w:footerReference w:type="default" r:id="rId5"/>
      <w:type w:val="nextPage"/>
      <w:pgSz w:w="11906" w:h="16838"/>
      <w:pgMar w:left="1400" w:right="1418" w:header="0" w:top="1304" w:footer="709" w:bottom="130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ee"/>
    <w:family w:val="roman"/>
    <w:pitch w:val="variable"/>
  </w:font>
  <w:font w:name="Wingdings">
    <w:charset w:val="ee"/>
    <w:family w:val="roman"/>
    <w:pitch w:val="variable"/>
  </w:font>
  <w:font w:name="Monotype Corsiva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7" w:hanging="0"/>
      <w:jc w:val="center"/>
      <w:rPr/>
    </w:pPr>
    <w:r>
      <w:rPr>
        <w:rFonts w:eastAsia="Monotype Corsiva" w:cs="Monotype Corsiva" w:ascii="Monotype Corsiva" w:hAnsi="Monotype Corsiva"/>
        <w:i/>
        <w:sz w:val="24"/>
      </w:rPr>
      <w:fldChar w:fldCharType="begin"/>
    </w:r>
    <w:r>
      <w:rPr>
        <w:sz w:val="24"/>
        <w:i/>
        <w:rFonts w:eastAsia="Monotype Corsiva" w:cs="Monotype Corsiva" w:ascii="Monotype Corsiva" w:hAnsi="Monotype Corsiva"/>
      </w:rPr>
      <w:instrText> PAGE </w:instrText>
    </w:r>
    <w:r>
      <w:rPr>
        <w:sz w:val="24"/>
        <w:i/>
        <w:rFonts w:eastAsia="Monotype Corsiva" w:cs="Monotype Corsiva" w:ascii="Monotype Corsiva" w:hAnsi="Monotype Corsiva"/>
      </w:rPr>
      <w:fldChar w:fldCharType="separate"/>
    </w:r>
    <w:r>
      <w:rPr>
        <w:sz w:val="24"/>
        <w:i/>
        <w:rFonts w:eastAsia="Monotype Corsiva" w:cs="Monotype Corsiva" w:ascii="Monotype Corsiva" w:hAnsi="Monotype Corsiva"/>
      </w:rPr>
      <w:t>3</w:t>
    </w:r>
    <w:r>
      <w:rPr>
        <w:sz w:val="24"/>
        <w:i/>
        <w:rFonts w:eastAsia="Monotype Corsiva" w:cs="Monotype Corsiva" w:ascii="Monotype Corsiva" w:hAnsi="Monotype Corsiva"/>
      </w:rPr>
      <w:fldChar w:fldCharType="end"/>
    </w:r>
    <w:r>
      <w:rPr>
        <w:rFonts w:eastAsia="Monotype Corsiva" w:cs="Monotype Corsiva" w:ascii="Monotype Corsiva" w:hAnsi="Monotype Corsiva"/>
        <w:i/>
        <w:sz w:val="24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Tahoma" w:cs="Tahoma"/>
        <w:color w:val="000000"/>
      </w:rPr>
    </w:lvl>
  </w:abstractNum>
  <w:abstractNum w:abstractNumId="2"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rFonts w:cs="Webdings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"/>
      <w:ind w:left="10" w:firstLine="4"/>
      <w:jc w:val="left"/>
    </w:pPr>
    <w:rPr>
      <w:rFonts w:ascii="Tahoma" w:hAnsi="Tahoma" w:eastAsia="Tahoma" w:cs="Tahoma"/>
      <w:color w:val="000000"/>
      <w:kern w:val="0"/>
      <w:sz w:val="20"/>
      <w:szCs w:val="22"/>
      <w:lang w:val="hu-HU" w:eastAsia="hu-HU" w:bidi="ar-SA"/>
    </w:rPr>
  </w:style>
  <w:style w:type="paragraph" w:styleId="Cmsor2">
    <w:name w:val="Heading 2"/>
    <w:basedOn w:val="Normal"/>
    <w:next w:val="Normal"/>
    <w:link w:val="Cmsor2Char"/>
    <w:uiPriority w:val="99"/>
    <w:qFormat/>
    <w:rsid w:val="00053d21"/>
    <w:pPr>
      <w:keepNext w:val="true"/>
      <w:spacing w:lineRule="auto" w:line="240" w:before="0" w:after="0"/>
      <w:ind w:left="0" w:hanging="0"/>
      <w:outlineLvl w:val="1"/>
    </w:pPr>
    <w:rPr>
      <w:rFonts w:ascii="Times New Roman" w:hAnsi="Times New Roman" w:eastAsia="Times New Roman" w:cs="Times New Roman"/>
      <w:b/>
      <w:bCs/>
      <w:color w:val="auto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34cc4"/>
    <w:rPr>
      <w:rFonts w:ascii="Segoe UI" w:hAnsi="Segoe UI" w:eastAsia="Tahoma" w:cs="Segoe UI"/>
      <w:color w:val="000000"/>
      <w:sz w:val="18"/>
      <w:szCs w:val="18"/>
    </w:rPr>
  </w:style>
  <w:style w:type="character" w:styleId="Cmsor2Char" w:customStyle="1">
    <w:name w:val="Címsor 2 Char"/>
    <w:basedOn w:val="DefaultParagraphFont"/>
    <w:link w:val="Cmsor2"/>
    <w:uiPriority w:val="99"/>
    <w:qFormat/>
    <w:rsid w:val="00053d2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hivatkozs" w:customStyle="1">
    <w:name w:val="Internet-hivatkozás"/>
    <w:basedOn w:val="DefaultParagraphFont"/>
    <w:uiPriority w:val="99"/>
    <w:rsid w:val="00053d21"/>
    <w:rPr>
      <w:rFonts w:cs="Times New Roman"/>
      <w:color w:val="0000FF"/>
      <w:u w:val="single"/>
    </w:rPr>
  </w:style>
  <w:style w:type="character" w:styleId="LlbChar" w:customStyle="1">
    <w:name w:val="Élőláb Char"/>
    <w:basedOn w:val="DefaultParagraphFont"/>
    <w:link w:val="llb"/>
    <w:qFormat/>
    <w:rsid w:val="00053d21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cs="Webdings"/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libri" w:hAnsi="Calibri" w:cs="Calibri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34c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al"/>
    <w:link w:val="llbChar"/>
    <w:rsid w:val="00053d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left="0" w:hanging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eke@tekesport.hu" TargetMode="External"/><Relationship Id="rId4" Type="http://schemas.openxmlformats.org/officeDocument/2006/relationships/hyperlink" Target="http://www.tekesport.h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LibreOffice/6.2.1.2$Windows_X86_64 LibreOffice_project/7bcb35dc3024a62dea0caee87020152d1ee96e71</Application>
  <Pages>3</Pages>
  <Words>817</Words>
  <Characters>4899</Characters>
  <CharactersWithSpaces>5990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2019-03-11T20:11:00Z</dcterms:created>
  <dc:creator>Büki László</dc:creator>
  <dc:description/>
  <dc:language>hu-HU</dc:language>
  <cp:lastModifiedBy/>
  <cp:lastPrinted>2018-06-22T15:15:00Z</cp:lastPrinted>
  <dcterms:modified xsi:type="dcterms:W3CDTF">2019-03-18T12:40:45Z</dcterms:modified>
  <cp:revision>4</cp:revision>
  <dc:subject/>
  <dc:title>MAGYAR BOWLING és TEKE SZÖVETSÉG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